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C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CB1789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</w:t>
      </w:r>
      <w:r w:rsidR="009C2A3C">
        <w:rPr>
          <w:rFonts w:ascii="HelveticaNeue-Black" w:hAnsi="HelveticaNeue-Black"/>
          <w:b w:val="0"/>
        </w:rPr>
        <w:t>DE CONSTRUCCIÓ I INSTAL·LACIONS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E11D09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E11D09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E11D09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24AC1"/>
    <w:rsid w:val="006347CB"/>
    <w:rsid w:val="00674CE4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2A3C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11D09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4D1A-C47B-4BA7-A9A7-9B90794C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2</cp:revision>
  <cp:lastPrinted>2018-06-05T08:48:00Z</cp:lastPrinted>
  <dcterms:created xsi:type="dcterms:W3CDTF">2018-06-07T08:27:00Z</dcterms:created>
  <dcterms:modified xsi:type="dcterms:W3CDTF">2018-06-07T08:27:00Z</dcterms:modified>
</cp:coreProperties>
</file>